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2D442E79" w:rsidR="00CA24FB" w:rsidRPr="00C47D4C" w:rsidRDefault="00807BA2" w:rsidP="00247562">
      <w:pPr>
        <w:jc w:val="center"/>
        <w:rPr>
          <w:rFonts w:ascii="Arial" w:hAnsi="Arial" w:cs="Arial"/>
          <w:b/>
          <w:bCs/>
          <w:color w:val="000000"/>
        </w:rPr>
      </w:pPr>
      <w:r>
        <w:rPr>
          <w:rFonts w:ascii="Arial" w:hAnsi="Arial" w:cs="Arial"/>
          <w:b/>
          <w:bCs/>
          <w:color w:val="000000"/>
        </w:rPr>
        <w:t>PREG</w:t>
      </w:r>
      <w:r w:rsidR="00672D7F">
        <w:rPr>
          <w:rFonts w:ascii="Arial" w:hAnsi="Arial" w:cs="Arial"/>
          <w:b/>
          <w:bCs/>
          <w:color w:val="000000"/>
        </w:rPr>
        <w:t>ÃO ELETRÔNICO Nº 08</w:t>
      </w:r>
      <w:r w:rsidR="00D85255">
        <w:rPr>
          <w:rFonts w:ascii="Arial" w:hAnsi="Arial" w:cs="Arial"/>
          <w:b/>
          <w:bCs/>
          <w:color w:val="000000"/>
        </w:rPr>
        <w:t>/2021</w:t>
      </w:r>
    </w:p>
    <w:p w14:paraId="31CF237B" w14:textId="0B285C71"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343B81">
        <w:rPr>
          <w:rFonts w:ascii="Arial" w:hAnsi="Arial" w:cs="Arial"/>
          <w:bCs/>
          <w:color w:val="000000"/>
        </w:rPr>
        <w:t>sso Administrativo n°.09</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19928353"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672D7F">
        <w:rPr>
          <w:rFonts w:ascii="Arial" w:hAnsi="Arial" w:cs="Arial"/>
          <w:lang w:eastAsia="en-US"/>
        </w:rPr>
        <w:t xml:space="preserve"> </w:t>
      </w:r>
      <w:proofErr w:type="gramStart"/>
      <w:r w:rsidR="00672D7F">
        <w:rPr>
          <w:rFonts w:ascii="Arial" w:hAnsi="Arial" w:cs="Arial"/>
          <w:lang w:eastAsia="en-US"/>
        </w:rPr>
        <w:t>09:00</w:t>
      </w:r>
      <w:proofErr w:type="gramEnd"/>
      <w:r w:rsidR="00672D7F">
        <w:rPr>
          <w:rFonts w:ascii="Arial" w:hAnsi="Arial" w:cs="Arial"/>
          <w:lang w:eastAsia="en-US"/>
        </w:rPr>
        <w:t>HORAS DO DIA 05 DE FEVEREIRO</w:t>
      </w:r>
      <w:r w:rsidR="00D85255">
        <w:rPr>
          <w:rFonts w:ascii="Arial" w:hAnsi="Arial" w:cs="Arial"/>
          <w:lang w:eastAsia="en-US"/>
        </w:rPr>
        <w:t xml:space="preserve"> DE 2021</w:t>
      </w:r>
      <w:r w:rsidR="00655123">
        <w:rPr>
          <w:rFonts w:ascii="Arial" w:hAnsi="Arial" w:cs="Arial"/>
          <w:lang w:eastAsia="en-US"/>
        </w:rPr>
        <w:t xml:space="preserve"> ATÉ AS 08</w:t>
      </w:r>
      <w:r w:rsidR="00655123" w:rsidRPr="00655123">
        <w:rPr>
          <w:rFonts w:ascii="Arial" w:hAnsi="Arial" w:cs="Arial"/>
          <w:lang w:eastAsia="en-US"/>
        </w:rPr>
        <w:t>:00 DO</w:t>
      </w:r>
      <w:r w:rsidR="00672D7F">
        <w:rPr>
          <w:rFonts w:ascii="Arial" w:hAnsi="Arial" w:cs="Arial"/>
          <w:lang w:eastAsia="en-US"/>
        </w:rPr>
        <w:t xml:space="preserve"> DIA 19</w:t>
      </w:r>
      <w:r w:rsidR="00655123" w:rsidRPr="00655123">
        <w:rPr>
          <w:rFonts w:ascii="Arial" w:hAnsi="Arial" w:cs="Arial"/>
          <w:lang w:eastAsia="en-US"/>
        </w:rPr>
        <w:t xml:space="preserve"> DE </w:t>
      </w:r>
      <w:r w:rsidR="00672D7F">
        <w:rPr>
          <w:rFonts w:ascii="Arial" w:hAnsi="Arial" w:cs="Arial"/>
          <w:lang w:eastAsia="en-US"/>
        </w:rPr>
        <w:t>FEVEREIRO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736D0ADF"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672D7F">
        <w:rPr>
          <w:rFonts w:ascii="Arial" w:eastAsia="Arial" w:hAnsi="Arial" w:cs="Arial"/>
          <w:color w:val="000000" w:themeColor="text1"/>
        </w:rPr>
        <w:t>da manha do dia 19/02</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2DA8AFB9"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672D7F">
        <w:rPr>
          <w:rFonts w:ascii="Arial" w:eastAsia="Arial" w:hAnsi="Arial" w:cs="Arial"/>
          <w:color w:val="000000" w:themeColor="text1"/>
        </w:rPr>
        <w:t>da manha do dia 19/02</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2AF9BB41" w:rsidR="00CA24FB" w:rsidRPr="00C47D4C" w:rsidRDefault="00CA24FB" w:rsidP="005F3F7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5F3F7B" w:rsidRPr="005F3F7B">
        <w:rPr>
          <w:rFonts w:ascii="Arial" w:hAnsi="Arial" w:cs="Arial"/>
          <w:color w:val="000000"/>
        </w:rPr>
        <w:t xml:space="preserve">AQUISIÇÃO DE GÊNEROS ALIMENTICIOS PARA MONTAGEM DE KITS E SEREM DISTRIBUÍDOS AOS PAIS OU RESPONSÁVEIS DOS ESTUDANTES DAS ESCOLAS PÚBLICAS DE EDUCAÇÃO BÁSICA DURANTE O PERÍODO DE SUSPENSÃO DAS AULAS EM RAZÃO DE SITUAÇÃO DE EMERGÊNCIA E CALAMIDADE PÚBLICA EM DECORRÊNCIA DA PANDEMIA CAUSADA PELO COVID-19(CORONAVÍRUS), ADQUIRIDOS COM RECURSOS DO PROGRAMA NACIONAL DE ALIMENTAÇÃO </w:t>
      </w:r>
      <w:proofErr w:type="gramStart"/>
      <w:r w:rsidR="005F3F7B" w:rsidRPr="005F3F7B">
        <w:rPr>
          <w:rFonts w:ascii="Arial" w:hAnsi="Arial" w:cs="Arial"/>
          <w:color w:val="000000"/>
        </w:rPr>
        <w:t>ESCOLAR(</w:t>
      </w:r>
      <w:proofErr w:type="gramEnd"/>
      <w:r w:rsidR="005F3F7B" w:rsidRPr="005F3F7B">
        <w:rPr>
          <w:rFonts w:ascii="Arial" w:hAnsi="Arial" w:cs="Arial"/>
          <w:color w:val="000000"/>
        </w:rPr>
        <w:t>PNAE).</w:t>
      </w:r>
      <w:r w:rsidR="00A30F81" w:rsidRPr="00A30F81">
        <w:rPr>
          <w:rFonts w:ascii="Arial" w:hAnsi="Arial" w:cs="Arial"/>
          <w:color w:val="000000"/>
        </w:rPr>
        <w:t>.</w:t>
      </w:r>
      <w:r w:rsidRPr="002458AB">
        <w:rPr>
          <w:rFonts w:ascii="Arial" w:hAnsi="Arial" w:cs="Arial"/>
          <w:b/>
        </w:rPr>
        <w:t>,</w:t>
      </w:r>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de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3B8A30F5" w14:textId="73433D0B" w:rsidR="00F33093" w:rsidRDefault="00F33093" w:rsidP="00F33093">
      <w:pPr>
        <w:spacing w:before="120" w:after="120" w:line="276" w:lineRule="auto"/>
        <w:jc w:val="both"/>
        <w:rPr>
          <w:rFonts w:ascii="Arial" w:eastAsia="Arial" w:hAnsi="Arial"/>
          <w:b/>
          <w:sz w:val="14"/>
        </w:rPr>
      </w:pPr>
      <w:r>
        <w:rPr>
          <w:rFonts w:ascii="Arial" w:hAnsi="Arial" w:cs="Arial"/>
        </w:rPr>
        <w:t xml:space="preserve"> </w:t>
      </w:r>
      <w:r w:rsidR="00275E9E">
        <w:rPr>
          <w:rFonts w:ascii="Arial" w:eastAsia="Arial" w:hAnsi="Arial"/>
          <w:b/>
          <w:sz w:val="14"/>
        </w:rPr>
        <w:t>2-FUNDO MUNICIPAL DE EDUCAÇÃO</w:t>
      </w:r>
      <w:r>
        <w:rPr>
          <w:rFonts w:ascii="Arial" w:eastAsia="Arial" w:hAnsi="Arial"/>
          <w:b/>
          <w:sz w:val="14"/>
        </w:rPr>
        <w:t xml:space="preserve"> DE SANTO ESTEVAO</w:t>
      </w:r>
    </w:p>
    <w:p w14:paraId="1F01F414" w14:textId="2FDB5926" w:rsidR="00F54B35" w:rsidRDefault="00275E9E" w:rsidP="00F54B35">
      <w:pPr>
        <w:rPr>
          <w:rFonts w:ascii="Century Gothic" w:hAnsi="Century Gothic"/>
          <w:sz w:val="22"/>
          <w:szCs w:val="22"/>
          <w:lang w:eastAsia="x-none"/>
        </w:rPr>
      </w:pPr>
      <w:r>
        <w:rPr>
          <w:rFonts w:ascii="Century Gothic" w:hAnsi="Century Gothic"/>
          <w:sz w:val="22"/>
          <w:szCs w:val="22"/>
          <w:lang w:eastAsia="x-none"/>
        </w:rPr>
        <w:t>05.12.2.027</w:t>
      </w:r>
      <w:r w:rsidR="00F54B35">
        <w:rPr>
          <w:rFonts w:ascii="Century Gothic" w:hAnsi="Century Gothic"/>
          <w:sz w:val="22"/>
          <w:szCs w:val="22"/>
          <w:lang w:eastAsia="x-none"/>
        </w:rPr>
        <w:t>.</w:t>
      </w:r>
      <w:r>
        <w:rPr>
          <w:rFonts w:ascii="Century Gothic" w:hAnsi="Century Gothic"/>
          <w:sz w:val="22"/>
          <w:szCs w:val="22"/>
          <w:lang w:eastAsia="x-none"/>
        </w:rPr>
        <w:t>3.3.90.30.00.00.00 – DISTRIBUIÇÃO DE ALIMENTAÇÃO ESCOLAR – 3.3.90.30.11.00.00.00</w:t>
      </w:r>
    </w:p>
    <w:p w14:paraId="1A29465F" w14:textId="7AEFB118" w:rsidR="00F54B35" w:rsidRDefault="00275E9E" w:rsidP="00F54B35">
      <w:pPr>
        <w:rPr>
          <w:rFonts w:ascii="Century Gothic" w:hAnsi="Century Gothic"/>
          <w:sz w:val="22"/>
          <w:szCs w:val="22"/>
          <w:lang w:eastAsia="x-none"/>
        </w:rPr>
      </w:pPr>
      <w:r>
        <w:rPr>
          <w:rFonts w:ascii="Century Gothic" w:hAnsi="Century Gothic"/>
          <w:sz w:val="22"/>
          <w:szCs w:val="22"/>
          <w:lang w:eastAsia="x-none"/>
        </w:rPr>
        <w:t>Fonte de Recurso: 15</w:t>
      </w:r>
      <w:proofErr w:type="gramStart"/>
      <w:r>
        <w:rPr>
          <w:rFonts w:ascii="Century Gothic" w:hAnsi="Century Gothic"/>
          <w:sz w:val="22"/>
          <w:szCs w:val="22"/>
          <w:lang w:eastAsia="x-none"/>
        </w:rPr>
        <w:t xml:space="preserve">  </w:t>
      </w:r>
      <w:proofErr w:type="gramEnd"/>
      <w:r>
        <w:rPr>
          <w:rFonts w:ascii="Century Gothic" w:hAnsi="Century Gothic"/>
          <w:sz w:val="22"/>
          <w:szCs w:val="22"/>
          <w:lang w:eastAsia="x-none"/>
        </w:rPr>
        <w:t>- TRANSFERENCIAS DE RECURSO DO FNDE</w:t>
      </w: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042FDA">
      <w:pPr>
        <w:jc w:val="both"/>
        <w:rPr>
          <w:rFonts w:ascii="Arial" w:hAnsi="Arial" w:cs="Arial"/>
        </w:rPr>
      </w:pPr>
    </w:p>
    <w:p w14:paraId="3DC9360A" w14:textId="0AD4BB9A" w:rsidR="009E4998" w:rsidRPr="00C47D4C" w:rsidRDefault="009E4998" w:rsidP="00042FDA">
      <w:pPr>
        <w:jc w:val="both"/>
        <w:rPr>
          <w:rFonts w:ascii="Arial" w:hAnsi="Arial" w:cs="Arial"/>
        </w:rPr>
      </w:pPr>
      <w:r w:rsidRPr="00C47D4C">
        <w:rPr>
          <w:rFonts w:ascii="Arial" w:hAnsi="Arial" w:cs="Arial"/>
        </w:rPr>
        <w:lastRenderedPageBreak/>
        <w:t>3.1</w:t>
      </w:r>
      <w:proofErr w:type="gramStart"/>
      <w:r w:rsidRPr="00C47D4C">
        <w:rPr>
          <w:rFonts w:ascii="Arial" w:hAnsi="Arial" w:cs="Arial"/>
        </w:rPr>
        <w:t xml:space="preserve">  </w:t>
      </w:r>
      <w:proofErr w:type="gramEnd"/>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042FDA">
      <w:pPr>
        <w:jc w:val="both"/>
        <w:rPr>
          <w:rFonts w:ascii="Arial" w:hAnsi="Arial" w:cs="Arial"/>
        </w:rPr>
      </w:pPr>
      <w:r w:rsidRPr="00C47D4C">
        <w:rPr>
          <w:rFonts w:ascii="Arial" w:hAnsi="Arial" w:cs="Arial"/>
        </w:rPr>
        <w:t>3.2</w:t>
      </w:r>
      <w:proofErr w:type="gramStart"/>
      <w:r w:rsidRPr="00C47D4C">
        <w:rPr>
          <w:rFonts w:ascii="Arial" w:hAnsi="Arial" w:cs="Arial"/>
        </w:rPr>
        <w:t xml:space="preserve">   </w:t>
      </w:r>
      <w:proofErr w:type="gramEnd"/>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lastRenderedPageBreak/>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t>4.10</w:t>
      </w:r>
      <w:proofErr w:type="gramStart"/>
      <w:r w:rsidRPr="00C47D4C">
        <w:rPr>
          <w:rFonts w:ascii="Arial" w:hAnsi="Arial" w:cs="Arial"/>
        </w:rPr>
        <w:t xml:space="preserve">  </w:t>
      </w:r>
      <w:proofErr w:type="gramEnd"/>
      <w:r w:rsidRPr="00C47D4C">
        <w:rPr>
          <w:rFonts w:ascii="Arial" w:hAnsi="Arial" w:cs="Arial"/>
          <w:color w:val="000000"/>
        </w:rPr>
        <w:t xml:space="preserve">O licitante responsabiliza-se exclusiva e formalmente pelas transações efetuadas em seu nome, assume como firmes e verdadeiras suas propostas e seus </w:t>
      </w:r>
      <w:r w:rsidRPr="00C47D4C">
        <w:rPr>
          <w:rFonts w:ascii="Arial" w:hAnsi="Arial" w:cs="Arial"/>
          <w:color w:val="000000"/>
        </w:rPr>
        <w:lastRenderedPageBreak/>
        <w:t>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lastRenderedPageBreak/>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lastRenderedPageBreak/>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w:t>
      </w:r>
      <w:r w:rsidRPr="00C47D4C">
        <w:rPr>
          <w:rFonts w:ascii="Arial" w:hAnsi="Arial" w:cs="Arial"/>
          <w:color w:val="000000"/>
          <w:lang w:eastAsia="en-US"/>
        </w:rPr>
        <w:lastRenderedPageBreak/>
        <w:t xml:space="preserve">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w:t>
      </w:r>
      <w:r w:rsidR="00342CB9" w:rsidRPr="00C47D4C">
        <w:rPr>
          <w:rFonts w:ascii="Arial" w:hAnsi="Arial" w:cs="Arial"/>
          <w:color w:val="000000"/>
          <w:lang w:eastAsia="en-US"/>
        </w:rPr>
        <w:lastRenderedPageBreak/>
        <w:t>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73F63D3A" w14:textId="77777777" w:rsidR="009E5EC5" w:rsidRDefault="009E5EC5"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p>
    <w:p w14:paraId="54A1C73C" w14:textId="77777777" w:rsidR="00704FE6" w:rsidRPr="00704FE6" w:rsidRDefault="00704FE6" w:rsidP="00704FE6">
      <w:pPr>
        <w:pStyle w:val="PargrafodaLista"/>
        <w:rPr>
          <w:rFonts w:ascii="Arial" w:hAnsi="Arial" w:cs="Arial"/>
          <w:i/>
          <w:lang w:eastAsia="en-US"/>
        </w:rPr>
      </w:pPr>
    </w:p>
    <w:p w14:paraId="7A8A8988" w14:textId="0EBCAC06" w:rsidR="009E5EC5"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lang w:eastAsia="en-US"/>
        </w:rPr>
        <w:t xml:space="preserve">Alvara da vigilância sanitária, expedida pela Secretaria Municipal de </w:t>
      </w:r>
      <w:r w:rsidR="007047B5">
        <w:rPr>
          <w:rFonts w:ascii="Arial" w:hAnsi="Arial" w:cs="Arial"/>
          <w:lang w:eastAsia="en-US"/>
        </w:rPr>
        <w:t>Saúde</w:t>
      </w:r>
      <w:r>
        <w:rPr>
          <w:rFonts w:ascii="Arial" w:hAnsi="Arial" w:cs="Arial"/>
          <w:lang w:eastAsia="en-US"/>
        </w:rPr>
        <w:t xml:space="preserve"> ou equivalente, com</w:t>
      </w:r>
      <w:r w:rsidR="007047B5">
        <w:rPr>
          <w:rFonts w:ascii="Arial" w:hAnsi="Arial" w:cs="Arial"/>
          <w:lang w:eastAsia="en-US"/>
        </w:rPr>
        <w:t xml:space="preserve"> v</w:t>
      </w:r>
      <w:r>
        <w:rPr>
          <w:rFonts w:ascii="Arial" w:hAnsi="Arial" w:cs="Arial"/>
          <w:lang w:eastAsia="en-US"/>
        </w:rPr>
        <w:t>alidade na data de abertura do certame;</w:t>
      </w:r>
    </w:p>
    <w:p w14:paraId="5A3B920C" w14:textId="77777777" w:rsidR="00704FE6" w:rsidRPr="00704FE6" w:rsidRDefault="00704FE6" w:rsidP="00704FE6">
      <w:pPr>
        <w:pStyle w:val="PargrafodaLista"/>
        <w:rPr>
          <w:rFonts w:ascii="Arial" w:hAnsi="Arial" w:cs="Arial"/>
          <w:i/>
          <w:lang w:eastAsia="en-US"/>
        </w:rPr>
      </w:pPr>
    </w:p>
    <w:p w14:paraId="556336D6"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em nome da empresa e de seus sócios.</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xml:space="preserve">, do </w:t>
      </w:r>
      <w:r w:rsidRPr="00C47D4C">
        <w:rPr>
          <w:rFonts w:ascii="Arial" w:hAnsi="Arial" w:cs="Arial"/>
          <w:i/>
        </w:rPr>
        <w:lastRenderedPageBreak/>
        <w:t>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 xml:space="preserve">sendo facultada a convocação dos licitantes remanescentes, na ordem de classificação. Se, na ordem de classificação, seguir-se outra </w:t>
      </w:r>
      <w:r w:rsidR="00A902D4" w:rsidRPr="00C47D4C">
        <w:rPr>
          <w:rFonts w:ascii="Arial" w:hAnsi="Arial" w:cs="Arial"/>
          <w:bCs/>
          <w:color w:val="000000"/>
        </w:rPr>
        <w:lastRenderedPageBreak/>
        <w:t>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lastRenderedPageBreak/>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lastRenderedPageBreak/>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lastRenderedPageBreak/>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7"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59AB418B"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1B6AA7" w:rsidRPr="001B6AA7">
        <w:rPr>
          <w:rFonts w:ascii="Arial" w:hAnsi="Arial" w:cs="Arial"/>
          <w:color w:val="000000"/>
        </w:rPr>
        <w:t xml:space="preserve">AQUISIÇÃO DE GÊNEROS ALIMENTICIOS PARA MONTAGEM DE KITS E SEREM DISTRIBUÍDOS </w:t>
      </w:r>
      <w:r w:rsidR="001B6AA7" w:rsidRPr="001B6AA7">
        <w:rPr>
          <w:rFonts w:ascii="Arial" w:hAnsi="Arial" w:cs="Arial"/>
          <w:color w:val="000000"/>
        </w:rPr>
        <w:lastRenderedPageBreak/>
        <w:t xml:space="preserve">AOS PAIS OU RESPONSÁVEIS DOS ESTUDANTES DAS ESCOLAS PÚBLICAS DE EDUCAÇÃO BÁSICA DURANTE O PERÍODO DE SUSPENSÃO DAS AULAS EM RAZÃO DE SITUAÇÃO DE EMERGÊNCIA E CALAMIDADE PÚBLICA EM DECORRÊNCIA DA PANDEMIA CAUSADA PELO COVID-19(CORONAVÍRUS), ADQUIRIDOS COM RECURSOS DO PROGRAMA NACIONAL DE ALIMENTAÇÃO </w:t>
      </w:r>
      <w:proofErr w:type="gramStart"/>
      <w:r w:rsidR="001B6AA7" w:rsidRPr="001B6AA7">
        <w:rPr>
          <w:rFonts w:ascii="Arial" w:hAnsi="Arial" w:cs="Arial"/>
          <w:color w:val="000000"/>
        </w:rPr>
        <w:t>ESCOLAR(</w:t>
      </w:r>
      <w:proofErr w:type="gramEnd"/>
      <w:r w:rsidR="001B6AA7" w:rsidRPr="001B6AA7">
        <w:rPr>
          <w:rFonts w:ascii="Arial" w:hAnsi="Arial" w:cs="Arial"/>
          <w:color w:val="000000"/>
        </w:rPr>
        <w:t>PNAE).</w:t>
      </w:r>
      <w:r w:rsidR="00BB2958" w:rsidRPr="00BB2958">
        <w:rPr>
          <w:rFonts w:ascii="Arial" w:hAnsi="Arial" w:cs="Arial"/>
          <w:color w:val="000000"/>
        </w:rPr>
        <w:t>.</w:t>
      </w:r>
      <w:r w:rsidRPr="00C47D4C">
        <w:rPr>
          <w:rFonts w:ascii="Arial" w:hAnsi="Arial" w:cs="Arial"/>
        </w:rPr>
        <w:t>.,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5E5CA5F9"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PREGÃO ELETRONICO Nº</w:t>
      </w:r>
      <w:proofErr w:type="gramStart"/>
      <w:r w:rsidRPr="00C47D4C">
        <w:rPr>
          <w:rFonts w:ascii="Arial" w:hAnsi="Arial" w:cs="Arial"/>
          <w:b/>
        </w:rPr>
        <w:t xml:space="preserve"> </w:t>
      </w:r>
      <w:r w:rsidR="000F4E8A">
        <w:rPr>
          <w:rFonts w:ascii="Arial" w:hAnsi="Arial" w:cs="Arial"/>
          <w:b/>
        </w:rPr>
        <w:t xml:space="preserve"> </w:t>
      </w:r>
      <w:proofErr w:type="gramEnd"/>
      <w:r w:rsidR="000F4E8A">
        <w:rPr>
          <w:rFonts w:ascii="Arial" w:hAnsi="Arial" w:cs="Arial"/>
          <w:b/>
        </w:rPr>
        <w:t>08</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w:t>
      </w:r>
      <w:r w:rsidRPr="00C47D4C">
        <w:rPr>
          <w:rFonts w:ascii="Arial" w:hAnsi="Arial" w:cs="Arial"/>
        </w:rPr>
        <w:lastRenderedPageBreak/>
        <w:t xml:space="preserve">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aos cuidados 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lastRenderedPageBreak/>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 xml:space="preserve">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w:t>
      </w:r>
      <w:r w:rsidRPr="00C47D4C">
        <w:rPr>
          <w:rFonts w:ascii="Arial" w:hAnsi="Arial" w:cs="Arial"/>
        </w:rPr>
        <w:lastRenderedPageBreak/>
        <w:t>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2AF7D65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0F4E8A">
        <w:rPr>
          <w:rFonts w:ascii="Arial" w:hAnsi="Arial" w:cs="Arial"/>
          <w:b/>
          <w:bCs/>
        </w:rPr>
        <w:t xml:space="preserve">, NA FORMA ELETRÔNICA Nº </w:t>
      </w:r>
      <w:proofErr w:type="gramStart"/>
      <w:r w:rsidR="000F4E8A">
        <w:rPr>
          <w:rFonts w:ascii="Arial" w:hAnsi="Arial" w:cs="Arial"/>
          <w:b/>
          <w:bCs/>
        </w:rPr>
        <w:t>08</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366676D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26E73">
        <w:rPr>
          <w:rFonts w:ascii="Arial" w:hAnsi="Arial" w:cs="Arial"/>
          <w:b/>
          <w:bCs/>
        </w:rPr>
        <w:t>º 01/2021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09ACC050" w:rsidR="00681967" w:rsidRPr="00C47D4C" w:rsidRDefault="00A6409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08</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D702AA2" w:rsidR="00681967" w:rsidRPr="00C47D4C" w:rsidRDefault="00A6409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08</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0D599F4D" w:rsidR="00681967" w:rsidRPr="00C47D4C" w:rsidRDefault="00A6409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08</w:t>
      </w:r>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2470CBE2" w:rsidR="00681967" w:rsidRPr="00C47D4C" w:rsidRDefault="00A6409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08</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7126EA74" w:rsidR="00681967" w:rsidRPr="00C47D4C" w:rsidRDefault="00A6409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08/</w:t>
      </w:r>
      <w:bookmarkStart w:id="0" w:name="_GoBack"/>
      <w:bookmarkEnd w:id="0"/>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77777777" w:rsidR="00861ED7" w:rsidRDefault="00861ED7" w:rsidP="00861ED7">
      <w:pPr>
        <w:spacing w:before="120" w:after="120" w:line="276" w:lineRule="auto"/>
        <w:jc w:val="both"/>
        <w:rPr>
          <w:rFonts w:ascii="Arial" w:eastAsia="Arial" w:hAnsi="Arial"/>
          <w:b/>
          <w:sz w:val="14"/>
        </w:rPr>
      </w:pPr>
      <w:r>
        <w:rPr>
          <w:rFonts w:ascii="Arial" w:eastAsia="Arial" w:hAnsi="Arial"/>
          <w:b/>
          <w:sz w:val="14"/>
        </w:rPr>
        <w:t>2-FUNDO MUNICIPAL DE EDUCAÇÃO DE SANTO ESTEVAO</w:t>
      </w:r>
    </w:p>
    <w:p w14:paraId="5224FE14" w14:textId="77777777" w:rsidR="00861ED7" w:rsidRDefault="00861ED7" w:rsidP="00861ED7">
      <w:pPr>
        <w:rPr>
          <w:rFonts w:ascii="Century Gothic" w:hAnsi="Century Gothic"/>
          <w:sz w:val="22"/>
          <w:szCs w:val="22"/>
          <w:lang w:eastAsia="x-none"/>
        </w:rPr>
      </w:pPr>
      <w:r>
        <w:rPr>
          <w:rFonts w:ascii="Century Gothic" w:hAnsi="Century Gothic"/>
          <w:sz w:val="22"/>
          <w:szCs w:val="22"/>
          <w:lang w:eastAsia="x-none"/>
        </w:rPr>
        <w:t>05.12.2.027.3.3.90.30.00.00.00 – DISTRIBUIÇÃO DE ALIMENTAÇÃO ESCOLAR – 3.3.90.30.11.00.00.00</w:t>
      </w:r>
    </w:p>
    <w:p w14:paraId="70342971" w14:textId="77777777" w:rsidR="00861ED7" w:rsidRDefault="00861ED7" w:rsidP="00861ED7">
      <w:pPr>
        <w:rPr>
          <w:rFonts w:ascii="Century Gothic" w:hAnsi="Century Gothic"/>
          <w:sz w:val="22"/>
          <w:szCs w:val="22"/>
          <w:lang w:eastAsia="x-none"/>
        </w:rPr>
      </w:pPr>
      <w:r>
        <w:rPr>
          <w:rFonts w:ascii="Century Gothic" w:hAnsi="Century Gothic"/>
          <w:sz w:val="22"/>
          <w:szCs w:val="22"/>
          <w:lang w:eastAsia="x-none"/>
        </w:rPr>
        <w:t>Fonte de Recurso: 15</w:t>
      </w:r>
      <w:proofErr w:type="gramStart"/>
      <w:r>
        <w:rPr>
          <w:rFonts w:ascii="Century Gothic" w:hAnsi="Century Gothic"/>
          <w:sz w:val="22"/>
          <w:szCs w:val="22"/>
          <w:lang w:eastAsia="x-none"/>
        </w:rPr>
        <w:t xml:space="preserve">  </w:t>
      </w:r>
      <w:proofErr w:type="gramEnd"/>
      <w:r>
        <w:rPr>
          <w:rFonts w:ascii="Century Gothic" w:hAnsi="Century Gothic"/>
          <w:sz w:val="22"/>
          <w:szCs w:val="22"/>
          <w:lang w:eastAsia="x-none"/>
        </w:rPr>
        <w:t>- TRANSFERENCIAS DE RECURSO DO FNDE</w:t>
      </w:r>
    </w:p>
    <w:p w14:paraId="37608378" w14:textId="77777777" w:rsidR="00DB176A" w:rsidRDefault="00DB176A" w:rsidP="00DB176A">
      <w:pPr>
        <w:pStyle w:val="Ttulo4"/>
        <w:tabs>
          <w:tab w:val="left" w:pos="284"/>
          <w:tab w:val="num" w:pos="1134"/>
        </w:tabs>
        <w:spacing w:after="120"/>
        <w:rPr>
          <w:rFonts w:ascii="Century Gothic" w:hAnsi="Century Gothic" w:cs="Tahoma"/>
          <w:szCs w:val="22"/>
        </w:rPr>
      </w:pPr>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PREFEITURA 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lastRenderedPageBreak/>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0E38" w14:textId="77777777" w:rsidR="00805DD0" w:rsidRDefault="00805DD0">
      <w:r>
        <w:separator/>
      </w:r>
    </w:p>
  </w:endnote>
  <w:endnote w:type="continuationSeparator" w:id="0">
    <w:p w14:paraId="6F2FAD5C" w14:textId="77777777" w:rsidR="00805DD0" w:rsidRDefault="008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B415" w14:textId="77777777" w:rsidR="00805DD0" w:rsidRDefault="00805DD0">
      <w:r>
        <w:separator/>
      </w:r>
    </w:p>
  </w:footnote>
  <w:footnote w:type="continuationSeparator" w:id="0">
    <w:p w14:paraId="485944D7" w14:textId="77777777" w:rsidR="00805DD0" w:rsidRDefault="0080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E8A"/>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20345"/>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B81"/>
    <w:rsid w:val="00343C3E"/>
    <w:rsid w:val="00343FE5"/>
    <w:rsid w:val="00345045"/>
    <w:rsid w:val="00345AA4"/>
    <w:rsid w:val="0034712C"/>
    <w:rsid w:val="00347598"/>
    <w:rsid w:val="00352541"/>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F1C"/>
    <w:rsid w:val="004130BD"/>
    <w:rsid w:val="00413DFC"/>
    <w:rsid w:val="0041402E"/>
    <w:rsid w:val="00414DDA"/>
    <w:rsid w:val="00415F27"/>
    <w:rsid w:val="004160CA"/>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2D7F"/>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77CF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5DD0"/>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4CC4"/>
    <w:rsid w:val="009A651F"/>
    <w:rsid w:val="009A6A6F"/>
    <w:rsid w:val="009A735F"/>
    <w:rsid w:val="009B07DC"/>
    <w:rsid w:val="009B1B69"/>
    <w:rsid w:val="009B304B"/>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87E"/>
    <w:rsid w:val="00A631E4"/>
    <w:rsid w:val="00A63A59"/>
    <w:rsid w:val="00A6409D"/>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3A14"/>
    <w:rsid w:val="00DD46E9"/>
    <w:rsid w:val="00DD740A"/>
    <w:rsid w:val="00DD7F26"/>
    <w:rsid w:val="00DE0D00"/>
    <w:rsid w:val="00DE16CD"/>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09FC"/>
    <w:rsid w:val="00E32E9C"/>
    <w:rsid w:val="00E34EBE"/>
    <w:rsid w:val="00E34F8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19F1C45C-D941-44A9-A06B-93C9FBBE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TotalTime>
  <Pages>52</Pages>
  <Words>14838</Words>
  <Characters>80126</Characters>
  <Application>Microsoft Office Word</Application>
  <DocSecurity>0</DocSecurity>
  <Lines>667</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65</cp:revision>
  <cp:lastPrinted>2019-10-10T16:52:00Z</cp:lastPrinted>
  <dcterms:created xsi:type="dcterms:W3CDTF">2020-12-29T18:18:00Z</dcterms:created>
  <dcterms:modified xsi:type="dcterms:W3CDTF">2021-02-04T14:37:00Z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